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D3A" w:rsidRDefault="000024E0" w:rsidP="000C5447">
      <w:pPr>
        <w:pStyle w:val="Header"/>
        <w:widowControl w:val="0"/>
        <w:spacing w:after="0"/>
        <w:jc w:val="right"/>
        <w:rPr>
          <w:rFonts w:ascii="Arial" w:hAnsi="Arial" w:cs="Arial"/>
          <w:b/>
          <w:bCs/>
          <w:lang w:val="en-GB"/>
        </w:rPr>
      </w:pPr>
      <w:r w:rsidRPr="00BD722C">
        <w:rPr>
          <w:rFonts w:ascii="Arial" w:hAnsi="Arial" w:cs="Arial"/>
          <w:b/>
          <w:bCs/>
          <w:lang w:val="en-GB"/>
        </w:rPr>
        <w:t xml:space="preserve">                                       </w:t>
      </w:r>
      <w:r w:rsidR="00F83230" w:rsidRPr="00BD722C">
        <w:rPr>
          <w:rFonts w:ascii="Arial" w:hAnsi="Arial" w:cs="Arial"/>
          <w:b/>
          <w:bCs/>
          <w:lang w:val="en-GB"/>
        </w:rPr>
        <w:tab/>
      </w:r>
      <w:r w:rsidR="00A61EB9">
        <w:rPr>
          <w:rFonts w:ascii="Arial" w:hAnsi="Arial" w:cs="Arial"/>
          <w:b/>
          <w:bCs/>
          <w:lang w:val="en-GB"/>
        </w:rPr>
        <w:t>R2-19</w:t>
      </w:r>
      <w:r w:rsidR="00522A16">
        <w:rPr>
          <w:rFonts w:ascii="Arial" w:hAnsi="Arial" w:cs="Arial"/>
          <w:b/>
          <w:bCs/>
          <w:lang w:val="en-GB"/>
        </w:rPr>
        <w:t>12568</w:t>
      </w:r>
      <w:bookmarkStart w:id="0" w:name="_GoBack"/>
      <w:bookmarkEnd w:id="0"/>
    </w:p>
    <w:p w:rsidR="007C722F" w:rsidRPr="00CB7589" w:rsidRDefault="007C722F" w:rsidP="0051520E">
      <w:pPr>
        <w:pStyle w:val="Header"/>
        <w:widowControl w:val="0"/>
        <w:tabs>
          <w:tab w:val="right" w:pos="9781"/>
        </w:tabs>
        <w:ind w:right="-58"/>
        <w:rPr>
          <w:rFonts w:ascii="Arial" w:hAnsi="Arial" w:cs="Arial"/>
          <w:b/>
          <w:bCs/>
          <w:sz w:val="24"/>
          <w:lang w:val="en-GB"/>
        </w:rPr>
      </w:pPr>
      <w:r w:rsidRPr="00CB7589">
        <w:rPr>
          <w:rFonts w:ascii="Arial" w:hAnsi="Arial" w:cs="Arial"/>
          <w:b/>
          <w:bCs/>
          <w:sz w:val="24"/>
          <w:lang w:val="en-GB"/>
        </w:rPr>
        <w:t>3GPP TSG RAN WG2 Meeting 10</w:t>
      </w:r>
      <w:r w:rsidR="00327F28" w:rsidRPr="00CB7589">
        <w:rPr>
          <w:rFonts w:ascii="Arial" w:hAnsi="Arial" w:cs="Arial"/>
          <w:b/>
          <w:bCs/>
          <w:sz w:val="24"/>
          <w:lang w:val="en-GB"/>
        </w:rPr>
        <w:t>7</w:t>
      </w:r>
      <w:r w:rsidR="00CB7589" w:rsidRPr="00CB7589">
        <w:rPr>
          <w:rFonts w:ascii="Arial" w:hAnsi="Arial" w:cs="Arial"/>
          <w:b/>
          <w:bCs/>
          <w:sz w:val="24"/>
          <w:lang w:val="en-GB"/>
        </w:rPr>
        <w:t>bis</w:t>
      </w:r>
    </w:p>
    <w:p w:rsidR="00F83230" w:rsidRPr="00CB7589" w:rsidRDefault="00CB7589" w:rsidP="0051520E">
      <w:pPr>
        <w:pStyle w:val="Header"/>
        <w:widowControl w:val="0"/>
        <w:tabs>
          <w:tab w:val="right" w:pos="9781"/>
        </w:tabs>
        <w:ind w:right="-58"/>
        <w:rPr>
          <w:rFonts w:ascii="Arial" w:hAnsi="Arial" w:cs="Arial"/>
          <w:b/>
          <w:bCs/>
          <w:sz w:val="24"/>
          <w:highlight w:val="yellow"/>
          <w:lang w:val="en-GB"/>
        </w:rPr>
      </w:pPr>
      <w:r w:rsidRPr="00CB7589">
        <w:rPr>
          <w:rFonts w:ascii="Arial" w:hAnsi="Arial" w:cs="Arial"/>
          <w:b/>
          <w:bCs/>
          <w:sz w:val="24"/>
          <w:lang w:val="en-GB"/>
        </w:rPr>
        <w:t>Chongqin</w:t>
      </w:r>
      <w:r w:rsidR="00327F28" w:rsidRPr="00CB7589">
        <w:rPr>
          <w:rFonts w:ascii="Arial" w:hAnsi="Arial" w:cs="Arial"/>
          <w:b/>
          <w:bCs/>
          <w:sz w:val="24"/>
          <w:lang w:val="en-GB"/>
        </w:rPr>
        <w:t xml:space="preserve">, </w:t>
      </w:r>
      <w:r w:rsidRPr="00CB7589">
        <w:rPr>
          <w:rFonts w:ascii="Arial" w:hAnsi="Arial" w:cs="Arial"/>
          <w:b/>
          <w:bCs/>
          <w:sz w:val="24"/>
          <w:lang w:val="en-GB"/>
        </w:rPr>
        <w:t>PRC</w:t>
      </w:r>
      <w:r w:rsidR="00327F28" w:rsidRPr="00CB7589">
        <w:rPr>
          <w:rFonts w:ascii="Arial" w:hAnsi="Arial" w:cs="Arial"/>
          <w:b/>
          <w:bCs/>
          <w:sz w:val="24"/>
          <w:lang w:val="en-GB"/>
        </w:rPr>
        <w:t xml:space="preserve">, </w:t>
      </w:r>
      <w:r w:rsidRPr="00CB7589">
        <w:rPr>
          <w:rFonts w:ascii="Arial" w:hAnsi="Arial" w:cs="Arial"/>
          <w:b/>
          <w:bCs/>
          <w:sz w:val="24"/>
          <w:lang w:val="en-GB"/>
        </w:rPr>
        <w:t>14</w:t>
      </w:r>
      <w:r w:rsidR="00327F28" w:rsidRPr="00CB7589">
        <w:rPr>
          <w:rFonts w:ascii="Arial" w:hAnsi="Arial" w:cs="Arial"/>
          <w:b/>
          <w:bCs/>
          <w:sz w:val="24"/>
          <w:vertAlign w:val="superscript"/>
          <w:lang w:val="en-GB"/>
        </w:rPr>
        <w:t>th</w:t>
      </w:r>
      <w:r w:rsidR="00327F28" w:rsidRPr="00CB7589">
        <w:rPr>
          <w:rFonts w:ascii="Arial" w:hAnsi="Arial" w:cs="Arial"/>
          <w:b/>
          <w:bCs/>
          <w:sz w:val="24"/>
          <w:lang w:val="en-GB"/>
        </w:rPr>
        <w:t xml:space="preserve"> - </w:t>
      </w:r>
      <w:r w:rsidRPr="00CB7589">
        <w:rPr>
          <w:rFonts w:ascii="Arial" w:hAnsi="Arial" w:cs="Arial"/>
          <w:b/>
          <w:bCs/>
          <w:sz w:val="24"/>
          <w:lang w:val="en-GB"/>
        </w:rPr>
        <w:t>18</w:t>
      </w:r>
      <w:r w:rsidR="00327F28" w:rsidRPr="00CB7589">
        <w:rPr>
          <w:rFonts w:ascii="Arial" w:hAnsi="Arial" w:cs="Arial"/>
          <w:b/>
          <w:bCs/>
          <w:sz w:val="24"/>
          <w:vertAlign w:val="superscript"/>
          <w:lang w:val="en-GB"/>
        </w:rPr>
        <w:t>th</w:t>
      </w:r>
      <w:r w:rsidR="00327F28" w:rsidRPr="00CB7589">
        <w:rPr>
          <w:rFonts w:ascii="Arial" w:hAnsi="Arial" w:cs="Arial"/>
          <w:b/>
          <w:bCs/>
          <w:sz w:val="24"/>
          <w:lang w:val="en-GB"/>
        </w:rPr>
        <w:t xml:space="preserve"> </w:t>
      </w:r>
      <w:r w:rsidRPr="00CB7589">
        <w:rPr>
          <w:rFonts w:ascii="Arial" w:hAnsi="Arial" w:cs="Arial"/>
          <w:b/>
          <w:bCs/>
          <w:sz w:val="24"/>
          <w:lang w:val="en-GB"/>
        </w:rPr>
        <w:t xml:space="preserve">October </w:t>
      </w:r>
      <w:r w:rsidR="00327F28" w:rsidRPr="00CB7589">
        <w:rPr>
          <w:rFonts w:ascii="Arial" w:hAnsi="Arial" w:cs="Arial"/>
          <w:b/>
          <w:bCs/>
          <w:sz w:val="24"/>
          <w:lang w:val="en-GB"/>
        </w:rPr>
        <w:t>20</w:t>
      </w:r>
      <w:r w:rsidR="003338B4" w:rsidRPr="00CB7589">
        <w:rPr>
          <w:rFonts w:ascii="Arial" w:hAnsi="Arial" w:cs="Arial"/>
          <w:b/>
          <w:bCs/>
          <w:sz w:val="24"/>
          <w:lang w:val="en-GB"/>
        </w:rPr>
        <w:t>1</w:t>
      </w:r>
      <w:r w:rsidR="000024E0" w:rsidRPr="00CB7589">
        <w:rPr>
          <w:rFonts w:ascii="Arial" w:hAnsi="Arial" w:cs="Arial"/>
          <w:b/>
          <w:bCs/>
          <w:sz w:val="24"/>
          <w:lang w:val="en-GB"/>
        </w:rPr>
        <w:t>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293A9F">
        <w:rPr>
          <w:rFonts w:ascii="Arial" w:hAnsi="Arial" w:cs="Arial"/>
          <w:b/>
          <w:bCs/>
          <w:szCs w:val="20"/>
          <w:lang w:val="en-GB" w:eastAsia="zh-CN"/>
        </w:rPr>
        <w:t>4.8</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C5B92">
        <w:rPr>
          <w:rFonts w:ascii="Arial" w:hAnsi="Arial" w:cs="Arial"/>
          <w:b/>
          <w:bCs/>
          <w:szCs w:val="20"/>
          <w:lang w:val="en-GB" w:eastAsia="zh-CN"/>
        </w:rPr>
        <w:t>Subt</w:t>
      </w:r>
      <w:r w:rsidR="00F069D6" w:rsidRPr="00F069D6">
        <w:rPr>
          <w:rFonts w:ascii="Arial" w:hAnsi="Arial" w:cs="Arial"/>
          <w:b/>
          <w:bCs/>
          <w:szCs w:val="20"/>
          <w:lang w:val="en-GB" w:eastAsia="zh-CN"/>
        </w:rPr>
        <w:t xml:space="preserve">opics </w:t>
      </w:r>
      <w:r w:rsidR="00F069D6">
        <w:rPr>
          <w:rFonts w:ascii="Arial" w:hAnsi="Arial" w:cs="Arial"/>
          <w:b/>
          <w:bCs/>
          <w:szCs w:val="20"/>
          <w:lang w:val="en-GB" w:eastAsia="zh-CN"/>
        </w:rPr>
        <w:t>to be addressed in Sim M1M2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BD416B" w:rsidRDefault="00BD416B" w:rsidP="00AF73F5">
      <w:pPr>
        <w:rPr>
          <w:lang w:val="en-GB" w:eastAsia="zh-CN"/>
        </w:rPr>
      </w:pPr>
      <w:r>
        <w:rPr>
          <w:lang w:val="en-GB" w:eastAsia="zh-CN"/>
        </w:rPr>
        <w:t>The remaining time in release 16 available for V2X work is limited and work for “</w:t>
      </w:r>
      <w:r w:rsidRPr="00AE3A2C">
        <w:t>simultaneous configuration of mode1 and mode2</w:t>
      </w:r>
      <w:r>
        <w:t xml:space="preserve"> (Sim M1M2)</w:t>
      </w:r>
      <w:r>
        <w:rPr>
          <w:lang w:val="en-GB" w:eastAsia="zh-CN"/>
        </w:rPr>
        <w:t>” has not yet started. While many companies are convinced that to work on Sim M1M2 one need not wait until completion of both M1 and M2, it remains to be agreed which subtopics are really in scope and from there RAN2 may estimate how much time will be required to complete them.</w:t>
      </w:r>
    </w:p>
    <w:p w:rsidR="00AF73F5" w:rsidRDefault="00BD416B" w:rsidP="00AF73F5">
      <w:pPr>
        <w:rPr>
          <w:lang w:val="en-GB" w:eastAsia="zh-CN"/>
        </w:rPr>
      </w:pPr>
      <w:r>
        <w:rPr>
          <w:lang w:val="en-GB" w:eastAsia="zh-CN"/>
        </w:rPr>
        <w:t xml:space="preserve">This contribution intends to </w:t>
      </w:r>
      <w:r w:rsidR="0004437C">
        <w:rPr>
          <w:lang w:val="en-GB" w:eastAsia="zh-CN"/>
        </w:rPr>
        <w:t>list the main subtopics for Sim M1M2</w:t>
      </w:r>
      <w:r w:rsidR="00B817F6">
        <w:rPr>
          <w:lang w:val="en-GB" w:eastAsia="zh-CN"/>
        </w:rPr>
        <w:t>.</w:t>
      </w:r>
      <w:r>
        <w:rPr>
          <w:lang w:val="en-GB" w:eastAsia="zh-CN"/>
        </w:rPr>
        <w:t xml:space="preserve"> </w:t>
      </w:r>
    </w:p>
    <w:p w:rsidR="0077522A" w:rsidRPr="0077522A" w:rsidRDefault="0077522A" w:rsidP="00AF73F5">
      <w:pPr>
        <w:rPr>
          <w:lang w:eastAsia="zh-CN"/>
        </w:rPr>
      </w:pP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Pr="00F21238" w:rsidRDefault="005873F4" w:rsidP="005873F4">
      <w:r w:rsidRPr="00F21238">
        <w:t>First of all, we would like to see RAN2 understanding on the meaning for Sim M1M2</w:t>
      </w:r>
      <w:r w:rsidR="00984D7F" w:rsidRPr="00F21238">
        <w:t>.</w:t>
      </w:r>
      <w:r w:rsidRPr="00F21238">
        <w:t xml:space="preserve"> Following possibilities exist:</w:t>
      </w:r>
    </w:p>
    <w:p w:rsidR="00391F9D" w:rsidRPr="00F21238" w:rsidRDefault="00391F9D" w:rsidP="00173345">
      <w:pPr>
        <w:pStyle w:val="ListParagraph"/>
        <w:numPr>
          <w:ilvl w:val="0"/>
          <w:numId w:val="35"/>
        </w:numPr>
        <w:rPr>
          <w:rFonts w:ascii="Times New Roman" w:hAnsi="Times New Roman"/>
        </w:rPr>
      </w:pPr>
      <w:r w:rsidRPr="00F21238">
        <w:rPr>
          <w:rFonts w:ascii="Times New Roman" w:hAnsi="Times New Roman"/>
        </w:rPr>
        <w:t>New LCH restrictions configure each SL bearer as only M1, only M2 or as M1M2 bearer.</w:t>
      </w:r>
      <w:r w:rsidR="00327FBE" w:rsidRPr="00F21238">
        <w:rPr>
          <w:rFonts w:ascii="Times New Roman" w:hAnsi="Times New Roman"/>
        </w:rPr>
        <w:t xml:space="preserve"> The UE ensures that the corresponding LCH restrictions are applied for transmission of data in the SL LCHs.</w:t>
      </w:r>
    </w:p>
    <w:p w:rsidR="005873F4" w:rsidRPr="00F21238" w:rsidRDefault="005873F4" w:rsidP="00173345">
      <w:pPr>
        <w:pStyle w:val="ListParagraph"/>
        <w:numPr>
          <w:ilvl w:val="0"/>
          <w:numId w:val="35"/>
        </w:numPr>
        <w:rPr>
          <w:rFonts w:ascii="Times New Roman" w:hAnsi="Times New Roman"/>
        </w:rPr>
      </w:pPr>
      <w:r w:rsidRPr="00F21238">
        <w:rPr>
          <w:rFonts w:ascii="Times New Roman" w:hAnsi="Times New Roman"/>
        </w:rPr>
        <w:t>Tx and Re-Tx of a TB can use different Modes</w:t>
      </w:r>
      <w:r w:rsidR="00173345" w:rsidRPr="00F21238">
        <w:rPr>
          <w:rFonts w:ascii="Times New Roman" w:hAnsi="Times New Roman"/>
        </w:rPr>
        <w:t>. The LCH restriction may only apply for transmission.</w:t>
      </w:r>
    </w:p>
    <w:p w:rsidR="00F21238" w:rsidRDefault="00F21238" w:rsidP="00601F48">
      <w:pPr>
        <w:spacing w:after="0"/>
      </w:pPr>
    </w:p>
    <w:p w:rsidR="005873F4" w:rsidRDefault="00173345" w:rsidP="00601F48">
      <w:pPr>
        <w:spacing w:after="0"/>
      </w:pPr>
      <w:r w:rsidRPr="00F21238">
        <w:t>While</w:t>
      </w:r>
      <w:r w:rsidR="00F21238" w:rsidRPr="00F21238">
        <w:t xml:space="preserve">, </w:t>
      </w:r>
      <w:r w:rsidR="00F21238">
        <w:t>both are technically valid and useful enhancements, RAN2 should clarify if one or both of them are to be addressed in Rel. 16.</w:t>
      </w:r>
    </w:p>
    <w:p w:rsidR="00A3789A" w:rsidRDefault="00A3789A" w:rsidP="00173345"/>
    <w:p w:rsidR="00F21238" w:rsidRDefault="00F21238" w:rsidP="00173345">
      <w:r>
        <w:t>Further, if A is addressed, the LCP and BSR reporting procedures also need to be investigated. Especially, for M1M2 bearer(s):</w:t>
      </w:r>
    </w:p>
    <w:p w:rsidR="002D589B" w:rsidRDefault="00835B6F" w:rsidP="00B73238">
      <w:pPr>
        <w:numPr>
          <w:ilvl w:val="0"/>
          <w:numId w:val="36"/>
        </w:numPr>
      </w:pPr>
      <w:r w:rsidRPr="00B73238">
        <w:t>Determination of how much data is to be transmitted using Mode 1 (BSR) and Mode 2</w:t>
      </w:r>
      <w:r w:rsidR="00B73238">
        <w:t xml:space="preserve"> separately</w:t>
      </w:r>
    </w:p>
    <w:p w:rsidR="00B73238" w:rsidRDefault="00B73238" w:rsidP="00B73238">
      <w:pPr>
        <w:numPr>
          <w:ilvl w:val="0"/>
          <w:numId w:val="36"/>
        </w:numPr>
      </w:pPr>
      <w:r>
        <w:t>Corresponding changes in reporting of the BO of M1M2 bearer(s)</w:t>
      </w:r>
    </w:p>
    <w:p w:rsidR="00B73238" w:rsidRPr="00B73238" w:rsidRDefault="00B73238" w:rsidP="00B73238">
      <w:pPr>
        <w:numPr>
          <w:ilvl w:val="0"/>
          <w:numId w:val="36"/>
        </w:numPr>
      </w:pPr>
      <w:r>
        <w:t>Corresponding LCP changes due M1M2 bearer(s) – how much data is to be considered for LCP</w:t>
      </w:r>
      <w:r w:rsidR="00CF3B64">
        <w:t xml:space="preserve"> procedure for a particular grant</w:t>
      </w:r>
    </w:p>
    <w:p w:rsidR="00CF3B64" w:rsidRDefault="00CF3B64" w:rsidP="00CF3B64"/>
    <w:p w:rsidR="002D589B" w:rsidRDefault="00CF3B64" w:rsidP="00CF3B64">
      <w:pPr>
        <w:rPr>
          <w:lang w:val="en-GB"/>
        </w:rPr>
      </w:pPr>
      <w:r>
        <w:t xml:space="preserve">Addressing aspect ‘B’ could be rather simple </w:t>
      </w:r>
      <w:r w:rsidR="000F471A">
        <w:t>if agreeing</w:t>
      </w:r>
      <w:r>
        <w:t xml:space="preserve"> </w:t>
      </w:r>
      <w:r w:rsidR="000F471A">
        <w:t>that t</w:t>
      </w:r>
      <w:r w:rsidR="00835B6F" w:rsidRPr="00CF3B64">
        <w:rPr>
          <w:lang w:val="en-GB"/>
        </w:rPr>
        <w:t>he LCP restriction to Mode 1 and/ or Mode 2 is applicable to the LCP procedure only and for HARQ retransmissions, the UE shall use a grant (Mode 1 or Mode 2) that either is earlier in time or fulfils the required QoS of the highest priority logical channel in the corresponding MAC TB better.</w:t>
      </w:r>
    </w:p>
    <w:p w:rsidR="000F471A" w:rsidRPr="00CF3B64" w:rsidRDefault="000F471A" w:rsidP="00CF3B64"/>
    <w:p w:rsidR="00F1281A" w:rsidRPr="000D3D52" w:rsidRDefault="00F1281A" w:rsidP="00F1281A">
      <w:pPr>
        <w:rPr>
          <w:b/>
        </w:rPr>
      </w:pPr>
      <w:r w:rsidRPr="000D3D52">
        <w:rPr>
          <w:b/>
        </w:rPr>
        <w:lastRenderedPageBreak/>
        <w:t>Proposal: RAN2 should clarify the scope of Sim M1M2 i.e. if one or both of the following possibilities are to be worked on in release 16:</w:t>
      </w:r>
    </w:p>
    <w:p w:rsidR="00F1281A" w:rsidRPr="000D3D52" w:rsidRDefault="00F1281A" w:rsidP="00F1281A">
      <w:pPr>
        <w:pStyle w:val="ListParagraph"/>
        <w:numPr>
          <w:ilvl w:val="0"/>
          <w:numId w:val="38"/>
        </w:numPr>
        <w:rPr>
          <w:rFonts w:ascii="Times New Roman" w:hAnsi="Times New Roman"/>
          <w:b/>
        </w:rPr>
      </w:pPr>
      <w:r w:rsidRPr="000D3D52">
        <w:rPr>
          <w:rFonts w:ascii="Times New Roman" w:hAnsi="Times New Roman"/>
          <w:b/>
        </w:rPr>
        <w:t>New LCH restrictions configure each SL bearer as only M1, only M2 or as M1M2 bearer. The UE ensures that the corresponding LCH restrictions are applied for transmission of data in the SL LCHs.</w:t>
      </w:r>
    </w:p>
    <w:p w:rsidR="00F1281A" w:rsidRPr="000D3D52" w:rsidRDefault="00F1281A" w:rsidP="00F1281A">
      <w:pPr>
        <w:pStyle w:val="ListParagraph"/>
        <w:numPr>
          <w:ilvl w:val="0"/>
          <w:numId w:val="38"/>
        </w:numPr>
        <w:rPr>
          <w:rFonts w:ascii="Times New Roman" w:hAnsi="Times New Roman"/>
          <w:b/>
        </w:rPr>
      </w:pPr>
      <w:r w:rsidRPr="000D3D52">
        <w:rPr>
          <w:rFonts w:ascii="Times New Roman" w:hAnsi="Times New Roman"/>
          <w:b/>
        </w:rPr>
        <w:t>Tx and Re-Tx of a TB can use different Modes. The LCH restriction may only apply for transmission.</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sidRPr="00984D7F">
        <w:rPr>
          <w:lang w:val="en-GB"/>
        </w:rPr>
        <w:t xml:space="preserve">This document </w:t>
      </w:r>
      <w:r w:rsidR="009C21FD">
        <w:rPr>
          <w:lang w:val="en-GB" w:eastAsia="zh-CN"/>
        </w:rPr>
        <w:t>listed the main subtopics for Sim M1M2</w:t>
      </w:r>
      <w:r w:rsidRPr="0000101E">
        <w:rPr>
          <w:lang w:val="en-GB" w:eastAsia="zh-CN"/>
        </w:rPr>
        <w:t>.</w:t>
      </w:r>
      <w:r>
        <w:rPr>
          <w:lang w:val="en-GB" w:eastAsia="zh-CN"/>
        </w:rPr>
        <w:t xml:space="preserve"> Following proposal </w:t>
      </w:r>
      <w:r w:rsidR="009C21FD">
        <w:rPr>
          <w:lang w:val="en-GB" w:eastAsia="zh-CN"/>
        </w:rPr>
        <w:t xml:space="preserve">is </w:t>
      </w:r>
      <w:r>
        <w:rPr>
          <w:lang w:val="en-GB" w:eastAsia="zh-CN"/>
        </w:rPr>
        <w:t>made:</w:t>
      </w:r>
    </w:p>
    <w:p w:rsidR="009C21FD" w:rsidRPr="009C21FD" w:rsidRDefault="009C21FD" w:rsidP="009C21FD">
      <w:pPr>
        <w:rPr>
          <w:b/>
        </w:rPr>
      </w:pPr>
      <w:r w:rsidRPr="009C21FD">
        <w:rPr>
          <w:b/>
          <w:lang w:val="en-GB"/>
        </w:rPr>
        <w:t>Proposal</w:t>
      </w:r>
      <w:r w:rsidRPr="009C21FD">
        <w:rPr>
          <w:b/>
        </w:rPr>
        <w:t>: RAN2 should clarify the scope of Sim M1M2 i.e. if one or both of the following possibilities are to be worked on in release 16:</w:t>
      </w:r>
    </w:p>
    <w:p w:rsidR="009C21FD" w:rsidRPr="009C21FD" w:rsidRDefault="009C21FD" w:rsidP="009C21FD">
      <w:pPr>
        <w:pStyle w:val="ListParagraph"/>
        <w:numPr>
          <w:ilvl w:val="0"/>
          <w:numId w:val="39"/>
        </w:numPr>
        <w:rPr>
          <w:rFonts w:ascii="Times New Roman" w:hAnsi="Times New Roman"/>
          <w:b/>
        </w:rPr>
      </w:pPr>
      <w:r w:rsidRPr="009C21FD">
        <w:rPr>
          <w:rFonts w:ascii="Times New Roman" w:hAnsi="Times New Roman"/>
          <w:b/>
        </w:rPr>
        <w:t>New LCH restrictions configure each SL bearer as only M1, only M2 or as M1M2 bearer. The UE ensures that the corresponding LCH restrictions are applied for transmission of data in the SL LCHs.</w:t>
      </w:r>
    </w:p>
    <w:p w:rsidR="00DB4E6F" w:rsidRPr="009C21FD" w:rsidRDefault="009C21FD" w:rsidP="00DB4E6F">
      <w:pPr>
        <w:pStyle w:val="ListParagraph"/>
        <w:numPr>
          <w:ilvl w:val="0"/>
          <w:numId w:val="39"/>
        </w:numPr>
        <w:rPr>
          <w:rFonts w:ascii="Times New Roman" w:hAnsi="Times New Roman"/>
          <w:b/>
        </w:rPr>
      </w:pPr>
      <w:r w:rsidRPr="009C21FD">
        <w:rPr>
          <w:rFonts w:ascii="Times New Roman" w:hAnsi="Times New Roman"/>
          <w:b/>
        </w:rPr>
        <w:t>Tx and Re-Tx of a TB can use different Modes. The LCH restriction may only apply for transmission.</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EFA" w:rsidRDefault="008E3EFA">
      <w:r>
        <w:separator/>
      </w:r>
    </w:p>
  </w:endnote>
  <w:endnote w:type="continuationSeparator" w:id="0">
    <w:p w:rsidR="008E3EFA" w:rsidRDefault="008E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EFA" w:rsidRDefault="008E3EFA">
      <w:r>
        <w:separator/>
      </w:r>
    </w:p>
  </w:footnote>
  <w:footnote w:type="continuationSeparator" w:id="0">
    <w:p w:rsidR="008E3EFA" w:rsidRDefault="008E3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3"/>
  </w:num>
  <w:num w:numId="3">
    <w:abstractNumId w:val="28"/>
  </w:num>
  <w:num w:numId="4">
    <w:abstractNumId w:val="22"/>
  </w:num>
  <w:num w:numId="5">
    <w:abstractNumId w:val="19"/>
  </w:num>
  <w:num w:numId="6">
    <w:abstractNumId w:val="34"/>
  </w:num>
  <w:num w:numId="7">
    <w:abstractNumId w:val="20"/>
  </w:num>
  <w:num w:numId="8">
    <w:abstractNumId w:val="18"/>
  </w:num>
  <w:num w:numId="9">
    <w:abstractNumId w:val="31"/>
  </w:num>
  <w:num w:numId="10">
    <w:abstractNumId w:val="16"/>
  </w:num>
  <w:num w:numId="11">
    <w:abstractNumId w:val="3"/>
  </w:num>
  <w:num w:numId="12">
    <w:abstractNumId w:val="30"/>
  </w:num>
  <w:num w:numId="13">
    <w:abstractNumId w:val="12"/>
  </w:num>
  <w:num w:numId="14">
    <w:abstractNumId w:val="21"/>
  </w:num>
  <w:num w:numId="15">
    <w:abstractNumId w:val="3"/>
  </w:num>
  <w:num w:numId="16">
    <w:abstractNumId w:val="3"/>
  </w:num>
  <w:num w:numId="17">
    <w:abstractNumId w:val="2"/>
  </w:num>
  <w:num w:numId="18">
    <w:abstractNumId w:val="15"/>
  </w:num>
  <w:num w:numId="19">
    <w:abstractNumId w:val="23"/>
  </w:num>
  <w:num w:numId="20">
    <w:abstractNumId w:val="25"/>
  </w:num>
  <w:num w:numId="21">
    <w:abstractNumId w:val="14"/>
  </w:num>
  <w:num w:numId="22">
    <w:abstractNumId w:val="24"/>
  </w:num>
  <w:num w:numId="23">
    <w:abstractNumId w:val="0"/>
  </w:num>
  <w:num w:numId="24">
    <w:abstractNumId w:val="13"/>
  </w:num>
  <w:num w:numId="25">
    <w:abstractNumId w:val="29"/>
  </w:num>
  <w:num w:numId="26">
    <w:abstractNumId w:val="27"/>
  </w:num>
  <w:num w:numId="27">
    <w:abstractNumId w:val="10"/>
  </w:num>
  <w:num w:numId="28">
    <w:abstractNumId w:val="7"/>
  </w:num>
  <w:num w:numId="29">
    <w:abstractNumId w:val="4"/>
  </w:num>
  <w:num w:numId="30">
    <w:abstractNumId w:val="32"/>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7"/>
  </w:num>
  <w:num w:numId="3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16"/>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EFA"/>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B9A8D7"/>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3D1F2-76ED-4582-958C-9C8692DC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27</cp:revision>
  <cp:lastPrinted>2016-08-12T06:06:00Z</cp:lastPrinted>
  <dcterms:created xsi:type="dcterms:W3CDTF">2019-08-12T14:44:00Z</dcterms:created>
  <dcterms:modified xsi:type="dcterms:W3CDTF">2019-10-02T08:45:00Z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